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7DE3" w14:textId="77777777" w:rsidR="00EA1EBE" w:rsidRPr="000152D7" w:rsidRDefault="00EA1EBE" w:rsidP="00EA1EBE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14B84E0D" w14:textId="77777777" w:rsidR="00EA1EBE" w:rsidRPr="000152D7" w:rsidRDefault="00EA1EBE" w:rsidP="00EA1EBE">
      <w:pPr>
        <w:pStyle w:val="VorErsterPos"/>
      </w:pPr>
    </w:p>
    <w:p w14:paraId="7D97015D" w14:textId="77777777" w:rsidR="00EA1EBE" w:rsidRPr="00281DD0" w:rsidRDefault="00EA1EBE" w:rsidP="00EA1EBE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251C5947" w14:textId="77777777" w:rsidR="00EA1EBE" w:rsidRDefault="00EA1EBE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4F6009F9" w14:textId="41620D20" w:rsidR="008D035C" w:rsidRPr="004610A6" w:rsidRDefault="008D035C" w:rsidP="008D035C">
      <w:pPr>
        <w:pStyle w:val="PreisZeil"/>
        <w:widowControl w:val="0"/>
      </w:pPr>
      <w:bookmarkStart w:id="2" w:name="_GoBack"/>
      <w:bookmarkEnd w:id="2"/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326B6A5A" w14:textId="77777777" w:rsidR="008D035C" w:rsidRPr="00AB7372" w:rsidRDefault="008D035C" w:rsidP="008D035C">
      <w:pPr>
        <w:pStyle w:val="Heading2"/>
        <w:rPr>
          <w:sz w:val="22"/>
        </w:rPr>
      </w:pPr>
      <w:bookmarkStart w:id="3" w:name="_Toc42111857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1600A</w:t>
      </w:r>
      <w:r w:rsidRPr="00AB7372">
        <w:t xml:space="preserve"> / </w:t>
      </w:r>
      <w:r w:rsidRPr="006F3E92">
        <w:rPr>
          <w:noProof/>
        </w:rPr>
        <w:t>66kA</w:t>
      </w:r>
      <w:bookmarkEnd w:id="3"/>
    </w:p>
    <w:p w14:paraId="5DDBD0D1" w14:textId="77777777" w:rsidR="008D035C" w:rsidRPr="00AB7372" w:rsidRDefault="008D035C" w:rsidP="008D035C">
      <w:pPr>
        <w:widowControl w:val="0"/>
        <w:ind w:left="1134" w:right="3119"/>
        <w:rPr>
          <w:sz w:val="16"/>
        </w:rPr>
      </w:pPr>
    </w:p>
    <w:p w14:paraId="54E6BEC3" w14:textId="77777777" w:rsidR="008D035C" w:rsidRPr="00AB7372" w:rsidRDefault="008D035C" w:rsidP="008D035C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33311AB4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7DDA3963" w14:textId="77777777" w:rsidR="008D035C" w:rsidRPr="00AB7372" w:rsidRDefault="008D035C" w:rsidP="008D035C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37D88E8A" w14:textId="77777777" w:rsidR="008D035C" w:rsidRPr="00AB7372" w:rsidRDefault="008D035C" w:rsidP="008D035C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09E11C7A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1C0E2DB8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66FCA490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1600A</w:t>
      </w:r>
    </w:p>
    <w:p w14:paraId="05421569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533C229A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66kA</w:t>
      </w:r>
      <w:r w:rsidRPr="00AB7372">
        <w:rPr>
          <w:sz w:val="16"/>
        </w:rPr>
        <w:t>/440Vac</w:t>
      </w:r>
    </w:p>
    <w:p w14:paraId="45085665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6BE74278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21EDF75F" w14:textId="77777777" w:rsidR="008D035C" w:rsidRPr="00AB7372" w:rsidRDefault="008D035C" w:rsidP="008D035C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4137C211" w14:textId="77777777" w:rsidR="008D035C" w:rsidRPr="00AB7372" w:rsidRDefault="008D035C" w:rsidP="008D035C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131CD5C1" w14:textId="77777777" w:rsidR="008D035C" w:rsidRPr="00AB7372" w:rsidRDefault="008D035C" w:rsidP="008D035C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5440FCD7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5C30B8FE" w14:textId="77777777" w:rsidR="008D035C" w:rsidRPr="00AB7372" w:rsidRDefault="008D035C" w:rsidP="008D035C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5435CFE6" w14:textId="77777777" w:rsidR="008D035C" w:rsidRPr="0013522B" w:rsidRDefault="008D035C" w:rsidP="008D035C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2F758C6A" w14:textId="77777777" w:rsidR="008D035C" w:rsidRPr="0013522B" w:rsidRDefault="008D035C" w:rsidP="008D035C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4B987A86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33A1537A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4F0C3F45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23E40CA4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7EC5A97F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000456A4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417C7B77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F994C50" w14:textId="77777777" w:rsidR="008D035C" w:rsidRPr="00BA67F7" w:rsidRDefault="008D035C" w:rsidP="008D035C">
      <w:pPr>
        <w:widowControl w:val="0"/>
        <w:ind w:left="708" w:right="2234" w:firstLine="426"/>
        <w:rPr>
          <w:sz w:val="16"/>
        </w:rPr>
      </w:pPr>
    </w:p>
    <w:p w14:paraId="171176BA" w14:textId="77777777" w:rsidR="008D035C" w:rsidRPr="00660E6C" w:rsidRDefault="008D035C" w:rsidP="008D035C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140472FF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09BC67AC" w14:textId="77777777" w:rsidR="008D035C" w:rsidRPr="009E7BD3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1BE1EC75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4538F61B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35464D17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650838AE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07735670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6EC7B763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7ED353B6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0C3F6BF9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781DF6DC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30945A19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46513471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3455B834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578884F8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2B621562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6CDB0AAB" w14:textId="77777777" w:rsidR="008D035C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2A35398F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56EDEB1B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00614194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2E1D8B48" w14:textId="77777777" w:rsidR="008D035C" w:rsidRPr="00BA5F75" w:rsidRDefault="008D035C" w:rsidP="008D035C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3E750BB2" w14:textId="77777777" w:rsidR="008D035C" w:rsidRDefault="008D035C" w:rsidP="008D035C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2B4E78EB" w14:textId="77777777" w:rsidR="008D035C" w:rsidRPr="00660E6C" w:rsidRDefault="008D035C" w:rsidP="008D035C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7C818D42" w14:textId="77777777" w:rsidR="008D035C" w:rsidRPr="0013522B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11151E88" w14:textId="77777777" w:rsidR="008D035C" w:rsidRDefault="008D035C" w:rsidP="008D035C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7240FD21" w14:textId="77777777" w:rsidR="008D035C" w:rsidRDefault="008D035C" w:rsidP="008D035C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423BBDE5" w14:textId="77777777" w:rsidR="008D035C" w:rsidRPr="00142C5B" w:rsidRDefault="008D035C" w:rsidP="008D035C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08F0CB0B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18AA181A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506B4C46" w14:textId="77777777" w:rsidR="008D035C" w:rsidRDefault="008D035C" w:rsidP="008D035C">
      <w:pPr>
        <w:widowControl w:val="0"/>
        <w:ind w:left="1418" w:right="2234"/>
        <w:contextualSpacing/>
        <w:rPr>
          <w:b/>
          <w:sz w:val="16"/>
        </w:rPr>
      </w:pPr>
    </w:p>
    <w:p w14:paraId="3F5A076D" w14:textId="77777777" w:rsidR="008D035C" w:rsidRPr="00BA67F7" w:rsidRDefault="008D035C" w:rsidP="008D035C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7BDBACF2" w14:textId="77777777" w:rsidR="008D035C" w:rsidRPr="00BA67F7" w:rsidRDefault="008D035C" w:rsidP="008D035C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3586C3A4" w14:textId="77777777" w:rsidR="008D035C" w:rsidRPr="00BA67F7" w:rsidRDefault="008D035C" w:rsidP="008D035C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0E0C2AA5" w14:textId="77777777" w:rsidR="008D035C" w:rsidRPr="00BA67F7" w:rsidRDefault="008D035C" w:rsidP="008D035C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03CCBB09" w14:textId="77777777" w:rsidR="008D035C" w:rsidRPr="00BA67F7" w:rsidRDefault="008D035C" w:rsidP="008D035C">
      <w:pPr>
        <w:widowControl w:val="0"/>
        <w:ind w:left="1418" w:right="2234"/>
        <w:contextualSpacing/>
        <w:rPr>
          <w:sz w:val="16"/>
        </w:rPr>
      </w:pPr>
    </w:p>
    <w:p w14:paraId="602FF97F" w14:textId="77777777" w:rsidR="008D035C" w:rsidRPr="00BA67F7" w:rsidRDefault="008D035C" w:rsidP="008D035C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2B8363F1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6A9DD01E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4345F83F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6E51718F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457E71A3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1EDA4944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37398162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3425519D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16B8B2AE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46AB6AFE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39346B70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2B0A875F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4DF81FA0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42E22E57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7A18AB0D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1F66FDB2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4D1F65C3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488FCA59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4F52905F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2D7976C3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27CDE00C" w14:textId="77777777" w:rsidR="008D035C" w:rsidRPr="00BA67F7" w:rsidRDefault="008D035C" w:rsidP="008D035C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018F198" w14:textId="77777777" w:rsidR="008D035C" w:rsidRPr="00BA67F7" w:rsidRDefault="008D035C" w:rsidP="008D035C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7F927C3" w14:textId="77777777" w:rsidR="008D035C" w:rsidRPr="00ED0D85" w:rsidRDefault="008D035C" w:rsidP="008D035C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IZMX16H3-V16W-1</w:t>
      </w:r>
      <w:r w:rsidRPr="00ED0D85">
        <w:rPr>
          <w:sz w:val="16"/>
          <w:highlight w:val="yellow"/>
          <w:lang w:val="en-US"/>
        </w:rPr>
        <w:t xml:space="preserve"> </w:t>
      </w:r>
    </w:p>
    <w:p w14:paraId="2C7751FC" w14:textId="77777777" w:rsidR="008D035C" w:rsidRPr="00405662" w:rsidRDefault="008D035C" w:rsidP="008D035C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78910AFB" w14:textId="77777777" w:rsidR="008D035C" w:rsidRPr="00405662" w:rsidRDefault="008D035C" w:rsidP="008D035C">
      <w:pPr>
        <w:widowControl w:val="0"/>
        <w:ind w:left="1134" w:right="2268"/>
        <w:rPr>
          <w:sz w:val="16"/>
        </w:rPr>
      </w:pPr>
    </w:p>
    <w:p w14:paraId="6F5F4899" w14:textId="77777777" w:rsidR="008D035C" w:rsidRPr="00405662" w:rsidRDefault="008D035C" w:rsidP="008D035C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6759C93C" w14:textId="77777777" w:rsidR="00727A98" w:rsidRPr="00BA67F7" w:rsidRDefault="00727A98" w:rsidP="008D035C">
      <w:pPr>
        <w:pStyle w:val="PreisZeil"/>
        <w:widowControl w:val="0"/>
        <w:rPr>
          <w:sz w:val="16"/>
          <w:lang w:val="en-US"/>
        </w:rPr>
      </w:pPr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16D1" w14:textId="77777777" w:rsidR="00B11071" w:rsidRDefault="00B11071" w:rsidP="00CD570A">
      <w:r>
        <w:separator/>
      </w:r>
    </w:p>
  </w:endnote>
  <w:endnote w:type="continuationSeparator" w:id="0">
    <w:p w14:paraId="6E50F9F0" w14:textId="77777777" w:rsidR="00B11071" w:rsidRDefault="00B11071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400B" w14:textId="77777777" w:rsidR="00B11071" w:rsidRDefault="00B11071" w:rsidP="00CD570A">
      <w:r>
        <w:separator/>
      </w:r>
    </w:p>
  </w:footnote>
  <w:footnote w:type="continuationSeparator" w:id="0">
    <w:p w14:paraId="68EB6142" w14:textId="77777777" w:rsidR="00B11071" w:rsidRDefault="00B11071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AE1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58B8D0FD" wp14:editId="453655FF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B11071">
      <w:fldChar w:fldCharType="begin"/>
    </w:r>
    <w:r w:rsidR="00B11071">
      <w:instrText xml:space="preserve"> NUMPAGES </w:instrText>
    </w:r>
    <w:r w:rsidR="00B11071">
      <w:fldChar w:fldCharType="separate"/>
    </w:r>
    <w:r w:rsidRPr="00CD570A">
      <w:t>686</w:t>
    </w:r>
    <w:r w:rsidR="00B11071">
      <w:fldChar w:fldCharType="end"/>
    </w:r>
    <w:r w:rsidRPr="00CD570A">
      <w:rPr>
        <w:snapToGrid w:val="0"/>
        <w:vanish/>
      </w:rPr>
      <w:pgNum/>
    </w:r>
  </w:p>
  <w:p w14:paraId="486EB1C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59A7FDC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1CC0BD1A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29234C30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3363A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8D035C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11071"/>
    <w:rsid w:val="00B51BD9"/>
    <w:rsid w:val="00B9068F"/>
    <w:rsid w:val="00BA5F75"/>
    <w:rsid w:val="00C4226C"/>
    <w:rsid w:val="00C61773"/>
    <w:rsid w:val="00CD570A"/>
    <w:rsid w:val="00CF7D05"/>
    <w:rsid w:val="00D01C85"/>
    <w:rsid w:val="00D23752"/>
    <w:rsid w:val="00D73B1B"/>
    <w:rsid w:val="00DF26DC"/>
    <w:rsid w:val="00E27C5A"/>
    <w:rsid w:val="00E77C86"/>
    <w:rsid w:val="00EA1EBE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7757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8F75-CE06-4A51-92A6-AE4F326C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8</cp:revision>
  <dcterms:created xsi:type="dcterms:W3CDTF">2020-06-03T19:04:00Z</dcterms:created>
  <dcterms:modified xsi:type="dcterms:W3CDTF">2020-11-18T07:05:00Z</dcterms:modified>
</cp:coreProperties>
</file>